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7D75" w14:textId="77777777" w:rsidR="00351CEF" w:rsidRDefault="00351CEF">
      <w:pPr>
        <w:rPr>
          <w:sz w:val="22"/>
          <w:szCs w:val="22"/>
        </w:rPr>
      </w:pPr>
    </w:p>
    <w:p w14:paraId="1EEF0E32" w14:textId="61CFC280" w:rsidR="002E3A7A" w:rsidRDefault="002E3A7A">
      <w:pPr>
        <w:rPr>
          <w:sz w:val="22"/>
          <w:szCs w:val="22"/>
        </w:rPr>
      </w:pPr>
      <w:r>
        <w:rPr>
          <w:sz w:val="22"/>
          <w:szCs w:val="22"/>
        </w:rPr>
        <w:t>April 4,</w:t>
      </w:r>
      <w:r w:rsidR="008A789A">
        <w:rPr>
          <w:sz w:val="22"/>
          <w:szCs w:val="22"/>
        </w:rPr>
        <w:t xml:space="preserve"> 2022</w:t>
      </w:r>
    </w:p>
    <w:p w14:paraId="2DF68024" w14:textId="77777777" w:rsidR="002E3A7A" w:rsidRDefault="002E3A7A">
      <w:pPr>
        <w:rPr>
          <w:sz w:val="22"/>
          <w:szCs w:val="22"/>
        </w:rPr>
      </w:pPr>
    </w:p>
    <w:p w14:paraId="39374D3C" w14:textId="77777777" w:rsidR="002E3A7A" w:rsidRDefault="002E3A7A">
      <w:pPr>
        <w:rPr>
          <w:sz w:val="22"/>
          <w:szCs w:val="22"/>
        </w:rPr>
      </w:pPr>
    </w:p>
    <w:p w14:paraId="12155583" w14:textId="649EBFF7" w:rsidR="00E96856" w:rsidRDefault="008A789A">
      <w:pPr>
        <w:rPr>
          <w:sz w:val="22"/>
          <w:szCs w:val="22"/>
        </w:rPr>
      </w:pPr>
      <w:r>
        <w:rPr>
          <w:sz w:val="22"/>
          <w:szCs w:val="22"/>
        </w:rPr>
        <w:t>To:</w:t>
      </w:r>
      <w:r>
        <w:rPr>
          <w:sz w:val="22"/>
          <w:szCs w:val="22"/>
        </w:rPr>
        <w:tab/>
      </w:r>
      <w:r>
        <w:rPr>
          <w:sz w:val="22"/>
          <w:szCs w:val="22"/>
        </w:rPr>
        <w:tab/>
        <w:t>[NAME]</w:t>
      </w:r>
      <w:r>
        <w:rPr>
          <w:sz w:val="22"/>
          <w:szCs w:val="22"/>
        </w:rPr>
        <w:tab/>
      </w:r>
      <w:r>
        <w:rPr>
          <w:sz w:val="22"/>
          <w:szCs w:val="22"/>
        </w:rPr>
        <w:tab/>
      </w:r>
      <w:r>
        <w:rPr>
          <w:sz w:val="22"/>
          <w:szCs w:val="22"/>
        </w:rPr>
        <w:tab/>
      </w:r>
      <w:r>
        <w:rPr>
          <w:sz w:val="22"/>
          <w:szCs w:val="22"/>
        </w:rPr>
        <w:tab/>
      </w:r>
      <w:r>
        <w:rPr>
          <w:sz w:val="22"/>
          <w:szCs w:val="22"/>
        </w:rPr>
        <w:tab/>
      </w:r>
    </w:p>
    <w:p w14:paraId="577E3038" w14:textId="77777777" w:rsidR="00E96856" w:rsidRDefault="00E96856">
      <w:pPr>
        <w:rPr>
          <w:sz w:val="22"/>
          <w:szCs w:val="22"/>
        </w:rPr>
      </w:pPr>
    </w:p>
    <w:p w14:paraId="1F0CC5F0" w14:textId="77777777" w:rsidR="00E96856" w:rsidRDefault="008A789A">
      <w:pPr>
        <w:ind w:left="1440" w:hanging="1440"/>
        <w:rPr>
          <w:sz w:val="22"/>
          <w:szCs w:val="22"/>
        </w:rPr>
      </w:pPr>
      <w:r>
        <w:rPr>
          <w:sz w:val="22"/>
          <w:szCs w:val="22"/>
        </w:rPr>
        <w:t>From:</w:t>
      </w:r>
      <w:r>
        <w:rPr>
          <w:sz w:val="22"/>
          <w:szCs w:val="22"/>
        </w:rPr>
        <w:tab/>
        <w:t xml:space="preserve">Dr. Jenn Capps, Provost and Vice President for Academic Affairs </w:t>
      </w:r>
    </w:p>
    <w:p w14:paraId="481249C0" w14:textId="77777777" w:rsidR="00E96856" w:rsidRDefault="008A789A">
      <w:pPr>
        <w:ind w:left="1440"/>
        <w:rPr>
          <w:sz w:val="22"/>
          <w:szCs w:val="22"/>
        </w:rPr>
      </w:pPr>
      <w:r>
        <w:rPr>
          <w:sz w:val="22"/>
          <w:szCs w:val="22"/>
        </w:rPr>
        <w:t xml:space="preserve">Dr. Monty Mola, </w:t>
      </w:r>
      <w:r>
        <w:rPr>
          <w:rFonts w:eastAsia="Calibri" w:cs="Calibri"/>
          <w:color w:val="000000"/>
          <w:sz w:val="22"/>
          <w:szCs w:val="22"/>
          <w:highlight w:val="white"/>
        </w:rPr>
        <w:t>President of the General Faculty and Chair of the University Senate</w:t>
      </w:r>
    </w:p>
    <w:p w14:paraId="00A4221F" w14:textId="77777777" w:rsidR="00E96856" w:rsidRDefault="00E96856">
      <w:pPr>
        <w:ind w:left="1440" w:hanging="1440"/>
        <w:rPr>
          <w:sz w:val="22"/>
          <w:szCs w:val="22"/>
        </w:rPr>
      </w:pPr>
    </w:p>
    <w:p w14:paraId="33BDAACC" w14:textId="62C34996" w:rsidR="00E96856" w:rsidRDefault="008A789A">
      <w:pPr>
        <w:rPr>
          <w:sz w:val="22"/>
          <w:szCs w:val="22"/>
        </w:rPr>
      </w:pPr>
      <w:r>
        <w:rPr>
          <w:sz w:val="22"/>
          <w:szCs w:val="22"/>
        </w:rPr>
        <w:t>Subject:</w:t>
      </w:r>
      <w:r>
        <w:rPr>
          <w:sz w:val="22"/>
          <w:szCs w:val="22"/>
        </w:rPr>
        <w:tab/>
      </w:r>
      <w:r w:rsidR="00E7340F">
        <w:rPr>
          <w:sz w:val="22"/>
          <w:szCs w:val="22"/>
        </w:rPr>
        <w:tab/>
      </w:r>
      <w:r>
        <w:rPr>
          <w:sz w:val="22"/>
          <w:szCs w:val="22"/>
        </w:rPr>
        <w:t>Notification of Emeritus Status</w:t>
      </w:r>
    </w:p>
    <w:p w14:paraId="0E4E1C0C" w14:textId="77777777" w:rsidR="00E96856" w:rsidRDefault="00E96856">
      <w:pPr>
        <w:rPr>
          <w:sz w:val="22"/>
          <w:szCs w:val="22"/>
        </w:rPr>
      </w:pPr>
      <w:bookmarkStart w:id="0" w:name="_heading=h.gjdgxs" w:colFirst="0" w:colLast="0"/>
      <w:bookmarkEnd w:id="0"/>
    </w:p>
    <w:p w14:paraId="65969F5C" w14:textId="77777777" w:rsidR="00E96856" w:rsidRDefault="00BB47CB">
      <w:r>
        <w:pict w14:anchorId="6E7BF9CA">
          <v:rect id="_x0000_i1025" style="width:0;height:1.5pt" o:hralign="center" o:hrstd="t" o:hr="t" fillcolor="#a0a0a0" stroked="f"/>
        </w:pict>
      </w:r>
    </w:p>
    <w:p w14:paraId="5E6C67F2" w14:textId="77777777" w:rsidR="00E96856" w:rsidRDefault="00E96856">
      <w:pPr>
        <w:rPr>
          <w:sz w:val="22"/>
          <w:szCs w:val="22"/>
        </w:rPr>
      </w:pPr>
    </w:p>
    <w:p w14:paraId="7FDC9710" w14:textId="0775320F" w:rsidR="00E96856" w:rsidRDefault="008A789A">
      <w:pPr>
        <w:rPr>
          <w:sz w:val="22"/>
          <w:szCs w:val="22"/>
        </w:rPr>
      </w:pPr>
      <w:r>
        <w:rPr>
          <w:sz w:val="22"/>
          <w:szCs w:val="22"/>
        </w:rPr>
        <w:t>We are pleased to inform you that the University Senate of Cal Poly Humboldt has unanimously approved you for Emeritus status</w:t>
      </w:r>
      <w:r w:rsidR="002E3A7A">
        <w:rPr>
          <w:sz w:val="22"/>
          <w:szCs w:val="22"/>
        </w:rPr>
        <w:t xml:space="preserve">. </w:t>
      </w:r>
      <w:r w:rsidR="00E7340F">
        <w:rPr>
          <w:sz w:val="22"/>
          <w:szCs w:val="22"/>
        </w:rPr>
        <w:t xml:space="preserve">Cal Poly </w:t>
      </w:r>
      <w:r w:rsidR="002E3A7A">
        <w:rPr>
          <w:sz w:val="22"/>
          <w:szCs w:val="22"/>
        </w:rPr>
        <w:t>Humboldt</w:t>
      </w:r>
      <w:r w:rsidR="00E7340F">
        <w:rPr>
          <w:sz w:val="22"/>
          <w:szCs w:val="22"/>
        </w:rPr>
        <w:t xml:space="preserve"> awards you this status with all the benefits and privileges as noted below.</w:t>
      </w:r>
      <w:r>
        <w:rPr>
          <w:sz w:val="22"/>
          <w:szCs w:val="22"/>
        </w:rPr>
        <w:t xml:space="preserve"> Emeriti faculty and staff are considered an important and integral part of the university community. The University recognizes the benefits and privileges of continued participation of retired faculty and staff in the academic life of the institution.</w:t>
      </w:r>
    </w:p>
    <w:p w14:paraId="4C9C2D15" w14:textId="77777777" w:rsidR="00E96856" w:rsidRDefault="00E96856">
      <w:pPr>
        <w:rPr>
          <w:sz w:val="22"/>
          <w:szCs w:val="22"/>
        </w:rPr>
      </w:pPr>
    </w:p>
    <w:p w14:paraId="1E7A6A9A" w14:textId="77777777" w:rsidR="00E96856" w:rsidRDefault="008A789A">
      <w:pPr>
        <w:rPr>
          <w:sz w:val="22"/>
          <w:szCs w:val="22"/>
        </w:rPr>
      </w:pPr>
      <w:r>
        <w:rPr>
          <w:sz w:val="22"/>
          <w:szCs w:val="22"/>
        </w:rPr>
        <w:t>In accordance with section 540 of Cal Poly Humboldt’s Faculty Handbook, faculty and staff emeriti may place the Latin designation emeritus or emerita following the title of their highest academic or administrative position on official correspondence, (i.e., Professor Emerita, Professor Emeritus, or Lecturer Emeritus, Lecturer Emerita, Librarian Emerita, Librarian Emeritus, Counselor Faculty Emeritus, Counselor Faculty Emerita, Coach Emeritus, Coach Emerita, Staff Emeritus, and Staff Emerita).</w:t>
      </w:r>
    </w:p>
    <w:p w14:paraId="595865F8" w14:textId="77777777" w:rsidR="00E96856" w:rsidRDefault="00E96856">
      <w:pPr>
        <w:rPr>
          <w:sz w:val="22"/>
          <w:szCs w:val="22"/>
        </w:rPr>
      </w:pPr>
    </w:p>
    <w:p w14:paraId="2F4CB4A2" w14:textId="6E070B07" w:rsidR="00E96856" w:rsidRDefault="008A789A">
      <w:pPr>
        <w:rPr>
          <w:sz w:val="22"/>
          <w:szCs w:val="22"/>
        </w:rPr>
      </w:pPr>
      <w:r>
        <w:rPr>
          <w:sz w:val="22"/>
          <w:szCs w:val="22"/>
        </w:rPr>
        <w:t xml:space="preserve">In accordance with Email Policy P21-01, Section I.E.: Retired faculty and staff with an official emeritus designation may retain their individual employee </w:t>
      </w:r>
      <w:r w:rsidR="00E7340F">
        <w:rPr>
          <w:sz w:val="22"/>
          <w:szCs w:val="22"/>
        </w:rPr>
        <w:t xml:space="preserve">email </w:t>
      </w:r>
      <w:r>
        <w:rPr>
          <w:sz w:val="22"/>
          <w:szCs w:val="22"/>
        </w:rPr>
        <w:t xml:space="preserve">accounts as long as their accounts remain active (defined as accessing the account at least once a year and not allowing the password to expire). </w:t>
      </w:r>
    </w:p>
    <w:p w14:paraId="2CBA8704" w14:textId="77777777" w:rsidR="00E96856" w:rsidRDefault="00E96856">
      <w:pPr>
        <w:rPr>
          <w:sz w:val="22"/>
          <w:szCs w:val="22"/>
        </w:rPr>
      </w:pPr>
    </w:p>
    <w:p w14:paraId="0ADA67F8" w14:textId="07BE7D4B" w:rsidR="00E96856" w:rsidRDefault="008A789A">
      <w:pPr>
        <w:rPr>
          <w:sz w:val="22"/>
          <w:szCs w:val="22"/>
        </w:rPr>
      </w:pPr>
      <w:r>
        <w:rPr>
          <w:sz w:val="22"/>
          <w:szCs w:val="22"/>
        </w:rPr>
        <w:t>So far as space, resources, and priorities permit, Cal Poly Humboldt offers amenities to assist emeriti</w:t>
      </w:r>
      <w:r w:rsidR="00E7340F">
        <w:rPr>
          <w:sz w:val="22"/>
          <w:szCs w:val="22"/>
        </w:rPr>
        <w:t xml:space="preserve"> faculty, staff and administrators</w:t>
      </w:r>
      <w:r>
        <w:rPr>
          <w:sz w:val="22"/>
          <w:szCs w:val="22"/>
        </w:rPr>
        <w:t xml:space="preserve"> in their scholarly or professional pursuits, including but not limited to: the assignment of an appropriate office space if available</w:t>
      </w:r>
      <w:r w:rsidR="001A4EC9">
        <w:rPr>
          <w:sz w:val="22"/>
          <w:szCs w:val="22"/>
        </w:rPr>
        <w:t>,</w:t>
      </w:r>
      <w:r>
        <w:rPr>
          <w:sz w:val="22"/>
          <w:szCs w:val="22"/>
        </w:rPr>
        <w:t xml:space="preserve"> and access to equipment or services; the right to compete for research grants through the Sponsored Programs Foundation; use of the library; attendance at department faculty meetings as ex-officio, non-voting members with floor privileges; the same discounts for use of academic resources such as books and software as active faculty; eligibility for the appointment and/or election to faculty committees; and free parking. Emeritus faculty</w:t>
      </w:r>
      <w:r w:rsidR="00E7340F">
        <w:rPr>
          <w:sz w:val="22"/>
          <w:szCs w:val="22"/>
        </w:rPr>
        <w:t>,</w:t>
      </w:r>
      <w:r>
        <w:rPr>
          <w:sz w:val="22"/>
          <w:szCs w:val="22"/>
        </w:rPr>
        <w:t xml:space="preserve"> staff</w:t>
      </w:r>
      <w:r w:rsidR="00E7340F">
        <w:rPr>
          <w:sz w:val="22"/>
          <w:szCs w:val="22"/>
        </w:rPr>
        <w:t xml:space="preserve">, and </w:t>
      </w:r>
      <w:r w:rsidR="001A4EC9">
        <w:rPr>
          <w:sz w:val="22"/>
          <w:szCs w:val="22"/>
        </w:rPr>
        <w:t>administrators</w:t>
      </w:r>
      <w:r>
        <w:rPr>
          <w:sz w:val="22"/>
          <w:szCs w:val="22"/>
        </w:rPr>
        <w:t xml:space="preserve"> are also encouraged to become members in the CSU Emeritus and Retired Faculty and Staff Association</w:t>
      </w:r>
      <w:r w:rsidR="00E7340F">
        <w:rPr>
          <w:sz w:val="22"/>
          <w:szCs w:val="22"/>
        </w:rPr>
        <w:t>, as well as the Humboldt ERFSA (</w:t>
      </w:r>
      <w:r w:rsidR="001A4EC9" w:rsidRPr="001A4EC9">
        <w:rPr>
          <w:sz w:val="22"/>
          <w:szCs w:val="22"/>
        </w:rPr>
        <w:t>https://erfsa.humboldt.edu/</w:t>
      </w:r>
      <w:r w:rsidR="001A4EC9">
        <w:rPr>
          <w:sz w:val="22"/>
          <w:szCs w:val="22"/>
        </w:rPr>
        <w:t>)</w:t>
      </w:r>
      <w:r>
        <w:rPr>
          <w:sz w:val="22"/>
          <w:szCs w:val="22"/>
        </w:rPr>
        <w:t>.</w:t>
      </w:r>
    </w:p>
    <w:p w14:paraId="77D33B74" w14:textId="77777777" w:rsidR="00E96856" w:rsidRDefault="00E96856">
      <w:pPr>
        <w:rPr>
          <w:sz w:val="22"/>
          <w:szCs w:val="22"/>
        </w:rPr>
      </w:pPr>
    </w:p>
    <w:p w14:paraId="7D9CD157" w14:textId="746CB82B" w:rsidR="00E96856" w:rsidRDefault="008A789A">
      <w:pPr>
        <w:rPr>
          <w:sz w:val="22"/>
          <w:szCs w:val="22"/>
        </w:rPr>
      </w:pPr>
      <w:r>
        <w:rPr>
          <w:sz w:val="22"/>
          <w:szCs w:val="22"/>
        </w:rPr>
        <w:t xml:space="preserve">Congratulations, and thank you for your </w:t>
      </w:r>
      <w:r w:rsidR="001A4EC9">
        <w:rPr>
          <w:sz w:val="22"/>
          <w:szCs w:val="22"/>
        </w:rPr>
        <w:t xml:space="preserve">continuing </w:t>
      </w:r>
      <w:r>
        <w:rPr>
          <w:sz w:val="22"/>
          <w:szCs w:val="22"/>
        </w:rPr>
        <w:t xml:space="preserve">service to the University Community. </w:t>
      </w:r>
    </w:p>
    <w:p w14:paraId="0417EEB8" w14:textId="77777777" w:rsidR="00E96856" w:rsidRDefault="00E96856">
      <w:pPr>
        <w:rPr>
          <w:sz w:val="22"/>
          <w:szCs w:val="22"/>
        </w:rPr>
      </w:pPr>
    </w:p>
    <w:p w14:paraId="252DC2EA" w14:textId="77777777" w:rsidR="00E96856" w:rsidRDefault="008A789A">
      <w:pPr>
        <w:rPr>
          <w:sz w:val="22"/>
          <w:szCs w:val="22"/>
        </w:rPr>
      </w:pPr>
      <w:r>
        <w:rPr>
          <w:sz w:val="22"/>
          <w:szCs w:val="22"/>
        </w:rPr>
        <w:t>Regards,</w:t>
      </w:r>
    </w:p>
    <w:p w14:paraId="679B5C14" w14:textId="77777777" w:rsidR="00E96856" w:rsidRDefault="00E96856">
      <w:pPr>
        <w:rPr>
          <w:sz w:val="16"/>
          <w:szCs w:val="16"/>
        </w:rPr>
      </w:pPr>
    </w:p>
    <w:p w14:paraId="4E2859A2" w14:textId="77777777" w:rsidR="00E96856" w:rsidRDefault="008A789A">
      <w:pPr>
        <w:rPr>
          <w:sz w:val="22"/>
          <w:szCs w:val="22"/>
        </w:rPr>
      </w:pPr>
      <w:r>
        <w:rPr>
          <w:noProof/>
          <w:lang w:bidi="ar-SA"/>
        </w:rPr>
        <w:drawing>
          <wp:inline distT="0" distB="0" distL="0" distR="0" wp14:anchorId="252AA3CF" wp14:editId="6FDB058D">
            <wp:extent cx="1143000" cy="3810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3000" cy="381000"/>
                    </a:xfrm>
                    <a:prstGeom prst="rect">
                      <a:avLst/>
                    </a:prstGeom>
                    <a:ln/>
                  </pic:spPr>
                </pic:pic>
              </a:graphicData>
            </a:graphic>
          </wp:inline>
        </w:drawing>
      </w:r>
    </w:p>
    <w:p w14:paraId="7D038B0B" w14:textId="77777777" w:rsidR="00E96856" w:rsidRDefault="008A789A">
      <w:pPr>
        <w:rPr>
          <w:sz w:val="22"/>
          <w:szCs w:val="22"/>
        </w:rPr>
      </w:pPr>
      <w:r>
        <w:rPr>
          <w:sz w:val="22"/>
          <w:szCs w:val="22"/>
        </w:rPr>
        <w:t xml:space="preserve">Dr. Jenn Capps </w:t>
      </w:r>
    </w:p>
    <w:p w14:paraId="0BFA141E" w14:textId="77777777" w:rsidR="00E96856" w:rsidRDefault="008A789A">
      <w:pPr>
        <w:rPr>
          <w:sz w:val="22"/>
          <w:szCs w:val="22"/>
        </w:rPr>
      </w:pPr>
      <w:r>
        <w:rPr>
          <w:sz w:val="22"/>
          <w:szCs w:val="22"/>
        </w:rPr>
        <w:t>Vice President for Academic Affairs</w:t>
      </w:r>
    </w:p>
    <w:p w14:paraId="13E284C3" w14:textId="77777777" w:rsidR="00E96856" w:rsidRDefault="00E96856">
      <w:pPr>
        <w:rPr>
          <w:sz w:val="22"/>
          <w:szCs w:val="22"/>
        </w:rPr>
      </w:pPr>
    </w:p>
    <w:p w14:paraId="740BF9B7" w14:textId="77777777" w:rsidR="00E96856" w:rsidRDefault="008A789A">
      <w:pPr>
        <w:rPr>
          <w:sz w:val="22"/>
          <w:szCs w:val="22"/>
        </w:rPr>
      </w:pPr>
      <w:r>
        <w:rPr>
          <w:noProof/>
          <w:lang w:bidi="ar-SA"/>
        </w:rPr>
        <w:drawing>
          <wp:inline distT="0" distB="0" distL="0" distR="0" wp14:anchorId="4070EBC2" wp14:editId="47113CEE">
            <wp:extent cx="1448861" cy="31455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8861" cy="314556"/>
                    </a:xfrm>
                    <a:prstGeom prst="rect">
                      <a:avLst/>
                    </a:prstGeom>
                    <a:ln/>
                  </pic:spPr>
                </pic:pic>
              </a:graphicData>
            </a:graphic>
          </wp:inline>
        </w:drawing>
      </w:r>
    </w:p>
    <w:p w14:paraId="0A77C942" w14:textId="77777777" w:rsidR="00E96856" w:rsidRDefault="008A789A">
      <w:pPr>
        <w:rPr>
          <w:sz w:val="22"/>
          <w:szCs w:val="22"/>
        </w:rPr>
      </w:pPr>
      <w:r>
        <w:rPr>
          <w:sz w:val="22"/>
          <w:szCs w:val="22"/>
        </w:rPr>
        <w:t xml:space="preserve">Dr. Monty Mola </w:t>
      </w:r>
    </w:p>
    <w:p w14:paraId="3070B27C" w14:textId="09E2500C" w:rsidR="00E96856" w:rsidRDefault="008A789A">
      <w:pPr>
        <w:rPr>
          <w:sz w:val="22"/>
          <w:szCs w:val="22"/>
        </w:rPr>
      </w:pPr>
      <w:r>
        <w:rPr>
          <w:sz w:val="22"/>
          <w:szCs w:val="22"/>
        </w:rPr>
        <w:t>President of the General Faculty and Chair of the University Senate</w:t>
      </w:r>
    </w:p>
    <w:p w14:paraId="4A258ABD" w14:textId="1D485F36" w:rsidR="001A4EC9" w:rsidRDefault="001A4EC9">
      <w:pPr>
        <w:rPr>
          <w:sz w:val="22"/>
          <w:szCs w:val="22"/>
        </w:rPr>
      </w:pPr>
    </w:p>
    <w:p w14:paraId="7C795954" w14:textId="3386865E" w:rsidR="001A4EC9" w:rsidRPr="002E3A7A" w:rsidRDefault="001A4EC9">
      <w:r>
        <w:rPr>
          <w:sz w:val="22"/>
          <w:szCs w:val="22"/>
        </w:rPr>
        <w:t>CC:</w:t>
      </w:r>
      <w:r>
        <w:rPr>
          <w:sz w:val="22"/>
          <w:szCs w:val="22"/>
        </w:rPr>
        <w:tab/>
      </w:r>
      <w:r w:rsidR="002E3A7A">
        <w:rPr>
          <w:sz w:val="22"/>
          <w:szCs w:val="22"/>
        </w:rPr>
        <w:t>Kenneth Fulgham</w:t>
      </w:r>
      <w:r w:rsidR="002E3A7A">
        <w:t xml:space="preserve"> and </w:t>
      </w:r>
      <w:r w:rsidR="002E3A7A">
        <w:rPr>
          <w:sz w:val="22"/>
          <w:szCs w:val="22"/>
        </w:rPr>
        <w:t xml:space="preserve">Marshelle Thobaben, </w:t>
      </w:r>
      <w:r>
        <w:rPr>
          <w:sz w:val="22"/>
          <w:szCs w:val="22"/>
        </w:rPr>
        <w:t>Humboldt ERFSA Co-Chair</w:t>
      </w:r>
      <w:r w:rsidR="00D879FF">
        <w:rPr>
          <w:sz w:val="22"/>
          <w:szCs w:val="22"/>
        </w:rPr>
        <w:t>s</w:t>
      </w:r>
    </w:p>
    <w:p w14:paraId="3AA50D53" w14:textId="604BF107" w:rsidR="001A4EC9" w:rsidRDefault="001A4EC9">
      <w:pPr>
        <w:rPr>
          <w:sz w:val="22"/>
          <w:szCs w:val="22"/>
        </w:rPr>
      </w:pPr>
      <w:r>
        <w:rPr>
          <w:sz w:val="22"/>
          <w:szCs w:val="22"/>
        </w:rPr>
        <w:tab/>
      </w:r>
    </w:p>
    <w:p w14:paraId="2B4303B0" w14:textId="6DBA28BC" w:rsidR="001A4EC9" w:rsidRDefault="001A4EC9">
      <w:r>
        <w:rPr>
          <w:sz w:val="22"/>
          <w:szCs w:val="22"/>
        </w:rPr>
        <w:tab/>
      </w:r>
    </w:p>
    <w:sectPr w:rsidR="001A4EC9">
      <w:headerReference w:type="first" r:id="rId9"/>
      <w:footerReference w:type="first" r:id="rId10"/>
      <w:pgSz w:w="12240" w:h="15840"/>
      <w:pgMar w:top="1440" w:right="1440" w:bottom="1440" w:left="1440" w:header="108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EA25" w14:textId="77777777" w:rsidR="00BB47CB" w:rsidRDefault="00BB47CB">
      <w:r>
        <w:separator/>
      </w:r>
    </w:p>
  </w:endnote>
  <w:endnote w:type="continuationSeparator" w:id="0">
    <w:p w14:paraId="1653C34D" w14:textId="77777777" w:rsidR="00BB47CB" w:rsidRDefault="00BB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66B3" w14:textId="77777777" w:rsidR="00E96856" w:rsidRDefault="00E96856">
    <w:pPr>
      <w:pBdr>
        <w:top w:val="nil"/>
        <w:left w:val="nil"/>
        <w:bottom w:val="nil"/>
        <w:right w:val="nil"/>
        <w:between w:val="nil"/>
      </w:pBdr>
      <w:tabs>
        <w:tab w:val="center" w:pos="4680"/>
        <w:tab w:val="right" w:pos="9360"/>
      </w:tabs>
      <w:jc w:val="center"/>
      <w:rPr>
        <w:rFonts w:eastAsia="Calibri" w:cs="Calibri"/>
        <w:color w:val="595959"/>
        <w:sz w:val="20"/>
        <w:szCs w:val="20"/>
      </w:rPr>
    </w:pPr>
  </w:p>
  <w:p w14:paraId="430CB21A" w14:textId="77777777" w:rsidR="00E96856" w:rsidRDefault="008A789A">
    <w:pPr>
      <w:pBdr>
        <w:top w:val="nil"/>
        <w:left w:val="nil"/>
        <w:bottom w:val="nil"/>
        <w:right w:val="nil"/>
        <w:between w:val="nil"/>
      </w:pBdr>
      <w:tabs>
        <w:tab w:val="center" w:pos="4680"/>
        <w:tab w:val="right" w:pos="9360"/>
      </w:tabs>
      <w:jc w:val="center"/>
      <w:rPr>
        <w:rFonts w:eastAsia="Calibri" w:cs="Calibri"/>
        <w:color w:val="595959"/>
        <w:sz w:val="20"/>
        <w:szCs w:val="20"/>
      </w:rPr>
    </w:pPr>
    <w:r>
      <w:rPr>
        <w:rFonts w:eastAsia="Calibri" w:cs="Calibri"/>
        <w:color w:val="595959"/>
        <w:sz w:val="20"/>
        <w:szCs w:val="20"/>
      </w:rPr>
      <w:t>1 Harpst Street, Arcata, California  95521-8299</w:t>
    </w:r>
    <w:r>
      <w:rPr>
        <w:rFonts w:eastAsia="Calibri" w:cs="Calibri"/>
        <w:color w:val="595959"/>
      </w:rPr>
      <w:t xml:space="preserve">  </w:t>
    </w:r>
    <w:r>
      <w:rPr>
        <w:rFonts w:eastAsia="Calibri" w:cs="Calibri"/>
        <w:color w:val="BFBFBF"/>
        <w:sz w:val="40"/>
        <w:szCs w:val="40"/>
      </w:rPr>
      <w:t>|</w:t>
    </w:r>
    <w:r>
      <w:rPr>
        <w:rFonts w:eastAsia="Calibri" w:cs="Calibri"/>
        <w:color w:val="595959"/>
      </w:rPr>
      <w:t xml:space="preserve">  </w:t>
    </w:r>
    <w:r>
      <w:rPr>
        <w:rFonts w:eastAsia="Calibri" w:cs="Calibri"/>
        <w:color w:val="595959"/>
        <w:sz w:val="20"/>
        <w:szCs w:val="20"/>
      </w:rPr>
      <w:t>humboldt.edu/aavp</w:t>
    </w:r>
  </w:p>
  <w:p w14:paraId="59195773" w14:textId="77777777" w:rsidR="00E96856" w:rsidRDefault="008A789A">
    <w:pPr>
      <w:pBdr>
        <w:top w:val="nil"/>
        <w:left w:val="nil"/>
        <w:bottom w:val="nil"/>
        <w:right w:val="nil"/>
        <w:between w:val="nil"/>
      </w:pBdr>
      <w:tabs>
        <w:tab w:val="center" w:pos="4680"/>
        <w:tab w:val="right" w:pos="9360"/>
      </w:tabs>
      <w:rPr>
        <w:rFonts w:eastAsia="Calibri" w:cs="Calibri"/>
        <w:color w:val="000000"/>
      </w:rPr>
    </w:pPr>
    <w:r>
      <w:rPr>
        <w:rFonts w:eastAsia="Calibri" w:cs="Calibri"/>
        <w:noProof/>
        <w:color w:val="000000"/>
        <w:lang w:bidi="ar-SA"/>
      </w:rPr>
      <w:drawing>
        <wp:inline distT="0" distB="0" distL="0" distR="0" wp14:anchorId="4CBFECDB" wp14:editId="79EE73E8">
          <wp:extent cx="5943600" cy="539496"/>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5394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63C5" w14:textId="77777777" w:rsidR="00BB47CB" w:rsidRDefault="00BB47CB">
      <w:r>
        <w:separator/>
      </w:r>
    </w:p>
  </w:footnote>
  <w:footnote w:type="continuationSeparator" w:id="0">
    <w:p w14:paraId="48BD3EF8" w14:textId="77777777" w:rsidR="00BB47CB" w:rsidRDefault="00BB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9AC0" w14:textId="77777777" w:rsidR="00E96856" w:rsidRDefault="00E96856">
    <w:pPr>
      <w:widowControl w:val="0"/>
      <w:pBdr>
        <w:top w:val="nil"/>
        <w:left w:val="nil"/>
        <w:bottom w:val="nil"/>
        <w:right w:val="nil"/>
        <w:between w:val="nil"/>
      </w:pBdr>
      <w:spacing w:line="276" w:lineRule="auto"/>
    </w:pPr>
  </w:p>
  <w:tbl>
    <w:tblPr>
      <w:tblStyle w:val="a"/>
      <w:tblW w:w="9490" w:type="dxa"/>
      <w:tblBorders>
        <w:top w:val="nil"/>
        <w:left w:val="nil"/>
        <w:bottom w:val="nil"/>
        <w:right w:val="nil"/>
        <w:insideH w:val="nil"/>
        <w:insideV w:val="nil"/>
      </w:tblBorders>
      <w:tblLayout w:type="fixed"/>
      <w:tblLook w:val="0400" w:firstRow="0" w:lastRow="0" w:firstColumn="0" w:lastColumn="0" w:noHBand="0" w:noVBand="1"/>
    </w:tblPr>
    <w:tblGrid>
      <w:gridCol w:w="6480"/>
      <w:gridCol w:w="3010"/>
    </w:tblGrid>
    <w:tr w:rsidR="00E96856" w14:paraId="613708C8" w14:textId="77777777">
      <w:tc>
        <w:tcPr>
          <w:tcW w:w="6480" w:type="dxa"/>
        </w:tcPr>
        <w:p w14:paraId="487F91BD" w14:textId="77777777" w:rsidR="00E96856" w:rsidRDefault="008A789A">
          <w:pPr>
            <w:pBdr>
              <w:top w:val="nil"/>
              <w:left w:val="nil"/>
              <w:bottom w:val="nil"/>
              <w:right w:val="nil"/>
              <w:between w:val="nil"/>
            </w:pBdr>
            <w:tabs>
              <w:tab w:val="center" w:pos="4680"/>
              <w:tab w:val="right" w:pos="9360"/>
            </w:tabs>
            <w:rPr>
              <w:rFonts w:eastAsia="Calibri" w:cs="Calibri"/>
              <w:color w:val="000000"/>
            </w:rPr>
          </w:pPr>
          <w:r>
            <w:rPr>
              <w:rFonts w:eastAsia="Calibri" w:cs="Calibri"/>
              <w:noProof/>
              <w:color w:val="000000"/>
              <w:lang w:bidi="ar-SA"/>
            </w:rPr>
            <w:drawing>
              <wp:inline distT="0" distB="0" distL="0" distR="0" wp14:anchorId="1025C1C5" wp14:editId="1387687B">
                <wp:extent cx="3714610" cy="25618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14610" cy="256180"/>
                        </a:xfrm>
                        <a:prstGeom prst="rect">
                          <a:avLst/>
                        </a:prstGeom>
                        <a:ln/>
                      </pic:spPr>
                    </pic:pic>
                  </a:graphicData>
                </a:graphic>
              </wp:inline>
            </w:drawing>
          </w:r>
        </w:p>
        <w:p w14:paraId="6106DF44" w14:textId="77777777" w:rsidR="00E96856" w:rsidRDefault="008A789A">
          <w:pPr>
            <w:widowControl w:val="0"/>
            <w:pBdr>
              <w:top w:val="nil"/>
              <w:left w:val="nil"/>
              <w:bottom w:val="nil"/>
              <w:right w:val="nil"/>
              <w:between w:val="nil"/>
            </w:pBdr>
            <w:spacing w:before="120" w:line="288" w:lineRule="auto"/>
            <w:ind w:left="43"/>
            <w:rPr>
              <w:rFonts w:eastAsia="Calibri" w:cs="Calibri"/>
              <w:b/>
              <w:color w:val="55565A"/>
            </w:rPr>
          </w:pPr>
          <w:r>
            <w:rPr>
              <w:rFonts w:eastAsia="Calibri" w:cs="Calibri"/>
              <w:b/>
              <w:color w:val="595959"/>
              <w:sz w:val="28"/>
              <w:szCs w:val="28"/>
            </w:rPr>
            <w:t>Provost and Vice President for Academic Affairs</w:t>
          </w:r>
        </w:p>
      </w:tc>
      <w:tc>
        <w:tcPr>
          <w:tcW w:w="3010" w:type="dxa"/>
          <w:tcMar>
            <w:left w:w="0" w:type="dxa"/>
          </w:tcMar>
        </w:tcPr>
        <w:p w14:paraId="5FB02B36" w14:textId="77777777" w:rsidR="00E96856" w:rsidRDefault="00E96856">
          <w:pPr>
            <w:widowControl w:val="0"/>
            <w:pBdr>
              <w:top w:val="nil"/>
              <w:left w:val="nil"/>
              <w:bottom w:val="nil"/>
              <w:right w:val="nil"/>
              <w:between w:val="nil"/>
            </w:pBdr>
            <w:spacing w:line="276" w:lineRule="auto"/>
            <w:rPr>
              <w:rFonts w:eastAsia="Calibri" w:cs="Calibri"/>
              <w:b/>
              <w:color w:val="55565A"/>
            </w:rPr>
          </w:pPr>
        </w:p>
        <w:tbl>
          <w:tblPr>
            <w:tblStyle w:val="a0"/>
            <w:tblW w:w="3010" w:type="dxa"/>
            <w:tblBorders>
              <w:top w:val="nil"/>
              <w:left w:val="nil"/>
              <w:bottom w:val="nil"/>
              <w:right w:val="nil"/>
              <w:insideH w:val="nil"/>
              <w:insideV w:val="single" w:sz="4" w:space="0" w:color="00945E"/>
            </w:tblBorders>
            <w:tblLayout w:type="fixed"/>
            <w:tblLook w:val="0400" w:firstRow="0" w:lastRow="0" w:firstColumn="0" w:lastColumn="0" w:noHBand="0" w:noVBand="1"/>
          </w:tblPr>
          <w:tblGrid>
            <w:gridCol w:w="2261"/>
            <w:gridCol w:w="749"/>
          </w:tblGrid>
          <w:tr w:rsidR="00E96856" w14:paraId="06CF279D" w14:textId="77777777">
            <w:trPr>
              <w:trHeight w:val="240"/>
            </w:trPr>
            <w:tc>
              <w:tcPr>
                <w:tcW w:w="2261" w:type="dxa"/>
                <w:tcBorders>
                  <w:right w:val="single" w:sz="4" w:space="0" w:color="D9D9D9"/>
                </w:tcBorders>
                <w:tcMar>
                  <w:left w:w="0" w:type="dxa"/>
                  <w:right w:w="115" w:type="dxa"/>
                </w:tcMar>
                <w:vAlign w:val="center"/>
              </w:tcPr>
              <w:p w14:paraId="0476ABF5" w14:textId="77777777" w:rsidR="00E96856" w:rsidRDefault="008A789A">
                <w:pPr>
                  <w:tabs>
                    <w:tab w:val="left" w:pos="10080"/>
                  </w:tabs>
                  <w:ind w:right="7"/>
                  <w:jc w:val="right"/>
                  <w:rPr>
                    <w:color w:val="595959"/>
                    <w:sz w:val="17"/>
                    <w:szCs w:val="17"/>
                  </w:rPr>
                </w:pPr>
                <w:r>
                  <w:rPr>
                    <w:color w:val="595959"/>
                    <w:sz w:val="17"/>
                    <w:szCs w:val="17"/>
                  </w:rPr>
                  <w:t>707 826-</w:t>
                </w:r>
                <w:r>
                  <w:rPr>
                    <w:color w:val="595959"/>
                    <w:sz w:val="18"/>
                    <w:szCs w:val="18"/>
                  </w:rPr>
                  <w:t>3722</w:t>
                </w:r>
              </w:p>
            </w:tc>
            <w:tc>
              <w:tcPr>
                <w:tcW w:w="749" w:type="dxa"/>
                <w:tcBorders>
                  <w:left w:val="single" w:sz="4" w:space="0" w:color="D9D9D9"/>
                </w:tcBorders>
                <w:tcMar>
                  <w:left w:w="115" w:type="dxa"/>
                  <w:right w:w="0" w:type="dxa"/>
                </w:tcMar>
                <w:vAlign w:val="center"/>
              </w:tcPr>
              <w:p w14:paraId="57AF9AB6" w14:textId="77777777" w:rsidR="00E96856" w:rsidRDefault="008A789A">
                <w:pPr>
                  <w:tabs>
                    <w:tab w:val="left" w:pos="10080"/>
                  </w:tabs>
                  <w:ind w:left="7"/>
                  <w:rPr>
                    <w:color w:val="595959"/>
                    <w:sz w:val="13"/>
                    <w:szCs w:val="13"/>
                  </w:rPr>
                </w:pPr>
                <w:r>
                  <w:rPr>
                    <w:color w:val="595959"/>
                    <w:sz w:val="13"/>
                    <w:szCs w:val="13"/>
                  </w:rPr>
                  <w:t>PHONE</w:t>
                </w:r>
              </w:p>
            </w:tc>
          </w:tr>
          <w:tr w:rsidR="00E96856" w14:paraId="405587FC" w14:textId="77777777">
            <w:trPr>
              <w:trHeight w:val="240"/>
            </w:trPr>
            <w:tc>
              <w:tcPr>
                <w:tcW w:w="2261" w:type="dxa"/>
                <w:tcBorders>
                  <w:right w:val="single" w:sz="4" w:space="0" w:color="D9D9D9"/>
                </w:tcBorders>
                <w:tcMar>
                  <w:left w:w="0" w:type="dxa"/>
                  <w:right w:w="115" w:type="dxa"/>
                </w:tcMar>
                <w:vAlign w:val="center"/>
              </w:tcPr>
              <w:p w14:paraId="542F704D" w14:textId="77777777" w:rsidR="00E96856" w:rsidRDefault="008A789A">
                <w:pPr>
                  <w:tabs>
                    <w:tab w:val="left" w:pos="10080"/>
                  </w:tabs>
                  <w:ind w:right="7"/>
                  <w:jc w:val="right"/>
                  <w:rPr>
                    <w:color w:val="595959"/>
                    <w:sz w:val="17"/>
                    <w:szCs w:val="17"/>
                  </w:rPr>
                </w:pPr>
                <w:r>
                  <w:rPr>
                    <w:color w:val="595959"/>
                    <w:sz w:val="18"/>
                    <w:szCs w:val="18"/>
                  </w:rPr>
                  <w:t>oaavp@humboldt.edu</w:t>
                </w:r>
              </w:p>
            </w:tc>
            <w:tc>
              <w:tcPr>
                <w:tcW w:w="749" w:type="dxa"/>
                <w:tcBorders>
                  <w:left w:val="single" w:sz="4" w:space="0" w:color="D9D9D9"/>
                </w:tcBorders>
                <w:tcMar>
                  <w:left w:w="115" w:type="dxa"/>
                  <w:right w:w="0" w:type="dxa"/>
                </w:tcMar>
                <w:vAlign w:val="center"/>
              </w:tcPr>
              <w:p w14:paraId="3AF411A4" w14:textId="77777777" w:rsidR="00E96856" w:rsidRDefault="008A789A">
                <w:pPr>
                  <w:tabs>
                    <w:tab w:val="left" w:pos="10080"/>
                  </w:tabs>
                  <w:ind w:left="7"/>
                  <w:rPr>
                    <w:color w:val="595959"/>
                    <w:sz w:val="13"/>
                    <w:szCs w:val="13"/>
                  </w:rPr>
                </w:pPr>
                <w:r>
                  <w:rPr>
                    <w:color w:val="595959"/>
                    <w:sz w:val="13"/>
                    <w:szCs w:val="13"/>
                  </w:rPr>
                  <w:t>EMAIL</w:t>
                </w:r>
              </w:p>
            </w:tc>
          </w:tr>
        </w:tbl>
        <w:p w14:paraId="2C4EAC5C" w14:textId="77777777" w:rsidR="00E96856" w:rsidRDefault="00E96856">
          <w:pPr>
            <w:tabs>
              <w:tab w:val="left" w:pos="10080"/>
            </w:tabs>
          </w:pPr>
        </w:p>
      </w:tc>
    </w:tr>
  </w:tbl>
  <w:p w14:paraId="1758C5D0" w14:textId="77777777" w:rsidR="00E96856" w:rsidRDefault="00E96856">
    <w:pPr>
      <w:pBdr>
        <w:top w:val="nil"/>
        <w:left w:val="nil"/>
        <w:bottom w:val="nil"/>
        <w:right w:val="nil"/>
        <w:between w:val="nil"/>
      </w:pBdr>
      <w:tabs>
        <w:tab w:val="center" w:pos="4680"/>
        <w:tab w:val="right" w:pos="9360"/>
      </w:tabs>
      <w:rPr>
        <w:rFonts w:eastAsia="Calibri" w:cs="Calibri"/>
        <w:color w:val="000000"/>
      </w:rPr>
    </w:pPr>
  </w:p>
  <w:p w14:paraId="43A97848" w14:textId="77777777" w:rsidR="00E96856" w:rsidRDefault="00E96856">
    <w:pPr>
      <w:pBdr>
        <w:top w:val="nil"/>
        <w:left w:val="nil"/>
        <w:bottom w:val="nil"/>
        <w:right w:val="nil"/>
        <w:between w:val="nil"/>
      </w:pBdr>
      <w:tabs>
        <w:tab w:val="center" w:pos="4680"/>
        <w:tab w:val="right" w:pos="9360"/>
      </w:tabs>
      <w:rPr>
        <w:rFonts w:eastAsia="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56"/>
    <w:rsid w:val="00031AC8"/>
    <w:rsid w:val="001A4EC9"/>
    <w:rsid w:val="002E3A7A"/>
    <w:rsid w:val="00351CEF"/>
    <w:rsid w:val="00485663"/>
    <w:rsid w:val="004874E7"/>
    <w:rsid w:val="007B0451"/>
    <w:rsid w:val="008A789A"/>
    <w:rsid w:val="00932EF0"/>
    <w:rsid w:val="00BB47CB"/>
    <w:rsid w:val="00D879FF"/>
    <w:rsid w:val="00E430E5"/>
    <w:rsid w:val="00E7340F"/>
    <w:rsid w:val="00E9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1DC7"/>
  <w15:docId w15:val="{7720CCED-8867-43E1-9129-37D0E8E1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E7"/>
    <w:rPr>
      <w:rFonts w:eastAsia="Times New Roman" w:cs="Times New Roman"/>
      <w:lang w:bidi="en-US"/>
    </w:rPr>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D0CE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eastAsiaTheme="minorHAnsi" w:hAnsi="MinionPro-Regular" w:cs="MinionPro-Regular"/>
      <w:color w:val="000000"/>
      <w:lang w:bidi="ar-SA"/>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B298A"/>
    <w:pPr>
      <w:spacing w:before="100" w:beforeAutospacing="1" w:after="100" w:afterAutospacing="1"/>
    </w:pPr>
    <w:rPr>
      <w:rFonts w:ascii="Times New Roman" w:hAnsi="Times New Roman"/>
      <w:lang w:eastAsia="ja-JP"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fEYVVid9BEnQBigB9gfa6wWOA==">AMUW2mVh/KTCMS0g+DEo9/DGfj9lRrzpccBicuSelxYsiqE+/hwXwO5wCKPFa/npAUdBrFgnyDvuPTSGUdSVTggh+v3uWiBT9Gw7Fg21Y6ih3/xo21+/vifnjnsJR9/N+QGn4chGdnQp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tmb419</dc:creator>
  <cp:lastModifiedBy>Kermit Thobaben</cp:lastModifiedBy>
  <cp:revision>4</cp:revision>
  <dcterms:created xsi:type="dcterms:W3CDTF">2022-04-10T18:19:00Z</dcterms:created>
  <dcterms:modified xsi:type="dcterms:W3CDTF">2022-04-16T02:12:00Z</dcterms:modified>
</cp:coreProperties>
</file>